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fd822a2dd80b44f1" /></Relationships>
</file>

<file path=word/document.xml><?xml version="1.0" encoding="utf-8"?>
<w:document xmlns:w="http://schemas.openxmlformats.org/wordprocessingml/2006/main">
  <w:body>
    <w:sectPr>
      <w:footerReference xmlns:r="http://schemas.openxmlformats.org/officeDocument/2006/relationships" w:type="default" r:id="r98"/>
      <w:headerReference xmlns:r="http://schemas.openxmlformats.org/officeDocument/2006/relationships" w:type="default" r:id="r97"/>
      <w:pgMar w:top="1200" w:right="2267" w:bottom="400" w:left="1500" w:header="709" w:footer="709"/>
    </w:sectPr>
    <w:p>
      <w:pPr>
        <w:bidi/>
        <w:spacing w:before="45" w:after="70" w:line="250" w:lineRule="auto"/>
        <w:jc w:val="center"/>
      </w:pPr>
      <w:defaultTabStop w:val="720"/>
      <w:r>
        <w:rPr>
          <w:lang w:bidi="he-IL"/>
          <w:rFonts w:hint="cs" w:cs="FrankRuehl"/>
          <w:szCs w:val="32"/>
          <w:rtl/>
        </w:rPr>
        <w:t xml:space="preserve">חוק גנים בוטניים, תשס"ו-2006</w:t>
      </w:r>
    </w:p>
    <w:p>
      <w:pPr>
        <w:bidi/>
        <w:spacing w:before="45" w:after="70" w:line="250" w:lineRule="auto"/>
        <w:jc w:val="center"/>
      </w:pPr>
      <w:defaultTabStop w:val="720"/>
      <w:r>
        <w:rPr>
          <w:lang w:bidi="he-IL"/>
          <w:rFonts w:hint="cs" w:cs="FrankRuehl"/>
          <w:szCs w:val="32"/>
          <w:rtl/>
        </w:rPr>
        <w:t xml:space="preserve">תוכן ענינים</w:t>
      </w:r>
    </w:p>
    <w:p>
      <w:pPr>
        <w:bidi/>
        <w:spacing w:before="45" w:after="5" w:line="250" w:lineRule="auto"/>
      </w:pPr>
      <w:defaultTabStop w:val="720"/>
      <w:r>
        <w:rPr>
          <w:lang w:bidi="he-IL"/>
          <w:rFonts w:hint="cs" w:cs="Times New Roman"/>
          <w:szCs w:val="24"/>
          <w:rtl/>
        </w:rPr>
        <w:fldChar w:fldCharType="begin"/>
        <w:fldChar w:fldCharType="separate"/>
        <w:tbl>
          <w:tblPr>
            <w:tblW w:w="5000" w:type="pct"/>
            <w:updateFields w:val="true"/>
          </w:tblPr>
          <w:tr>
            <w:tc>
              <w:p>
                <w:pPr>
                  <w:bidi/>
                  <w:spacing w:before="45" w:after="5" w:line="250" w:lineRule="auto"/>
                </w:pPr>
                <w:defaultTabStop w:val="720"/>
                <w:hyperlink w:anchor="h1">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הגדרות</w:t>
                </w:r>
              </w:p>
            </w:tc>
            <w:tc>
              <w:tcPr>
                <w:tcW w:w="800" w:type="pct"/>
              </w:tcPr>
              <w:p>
                <w:pPr>
                  <w:bidi/>
                  <w:spacing w:before="45" w:after="5" w:line="250" w:lineRule="auto"/>
                </w:pPr>
                <w:defaultTabStop w:val="720"/>
                <w:r>
                  <w:rPr>
                    <w:lang w:bidi="he-IL"/>
                    <w:rFonts w:hint="cs" w:cs="Times New Roman"/>
                    <w:szCs w:val="24"/>
                    <w:rtl/>
                  </w:rPr>
                  <w:t xml:space="preserve">סעיף 1</w:t>
                </w:r>
              </w:p>
            </w:tc>
          </w:tr>
          <w:tr>
            <w:tc>
              <w:p>
                <w:pPr>
                  <w:bidi/>
                  <w:spacing w:before="45" w:after="5" w:line="250" w:lineRule="auto"/>
                </w:pPr>
                <w:defaultTabStop w:val="720"/>
                <w:hyperlink w:anchor="h2">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הכרה בגן בוטני</w:t>
                </w:r>
              </w:p>
            </w:tc>
            <w:tc>
              <w:tcPr>
                <w:tcW w:w="800" w:type="pct"/>
              </w:tcPr>
              <w:p>
                <w:pPr>
                  <w:bidi/>
                  <w:spacing w:before="45" w:after="5" w:line="250" w:lineRule="auto"/>
                </w:pPr>
                <w:defaultTabStop w:val="720"/>
                <w:r>
                  <w:rPr>
                    <w:lang w:bidi="he-IL"/>
                    <w:rFonts w:hint="cs" w:cs="Times New Roman"/>
                    <w:szCs w:val="24"/>
                    <w:rtl/>
                  </w:rPr>
                  <w:t xml:space="preserve">סעיף 2</w:t>
                </w:r>
              </w:p>
            </w:tc>
          </w:tr>
          <w:tr>
            <w:tc>
              <w:p>
                <w:pPr>
                  <w:bidi/>
                  <w:spacing w:before="45" w:after="5" w:line="250" w:lineRule="auto"/>
                </w:pPr>
                <w:defaultTabStop w:val="720"/>
                <w:hyperlink w:anchor="h3">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ביטול הכרה</w:t>
                </w:r>
              </w:p>
            </w:tc>
            <w:tc>
              <w:tcPr>
                <w:tcW w:w="800" w:type="pct"/>
              </w:tcPr>
              <w:p>
                <w:pPr>
                  <w:bidi/>
                  <w:spacing w:before="45" w:after="5" w:line="250" w:lineRule="auto"/>
                </w:pPr>
                <w:defaultTabStop w:val="720"/>
                <w:r>
                  <w:rPr>
                    <w:lang w:bidi="he-IL"/>
                    <w:rFonts w:hint="cs" w:cs="Times New Roman"/>
                    <w:szCs w:val="24"/>
                    <w:rtl/>
                  </w:rPr>
                  <w:t xml:space="preserve">סעיף 3</w:t>
                </w:r>
              </w:p>
            </w:tc>
          </w:tr>
          <w:tr>
            <w:tc>
              <w:p>
                <w:pPr>
                  <w:bidi/>
                  <w:spacing w:before="45" w:after="5" w:line="250" w:lineRule="auto"/>
                </w:pPr>
                <w:defaultTabStop w:val="720"/>
                <w:hyperlink w:anchor="h4">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מועצה לגנים בוטניים</w:t>
                </w:r>
              </w:p>
            </w:tc>
            <w:tc>
              <w:tcPr>
                <w:tcW w:w="800" w:type="pct"/>
              </w:tcPr>
              <w:p>
                <w:pPr>
                  <w:bidi/>
                  <w:spacing w:before="45" w:after="5" w:line="250" w:lineRule="auto"/>
                </w:pPr>
                <w:defaultTabStop w:val="720"/>
                <w:r>
                  <w:rPr>
                    <w:lang w:bidi="he-IL"/>
                    <w:rFonts w:hint="cs" w:cs="Times New Roman"/>
                    <w:szCs w:val="24"/>
                    <w:rtl/>
                  </w:rPr>
                  <w:t xml:space="preserve">סעיף 4</w:t>
                </w:r>
              </w:p>
            </w:tc>
          </w:tr>
          <w:tr>
            <w:tc>
              <w:p>
                <w:pPr>
                  <w:bidi/>
                  <w:spacing w:before="45" w:after="5" w:line="250" w:lineRule="auto"/>
                </w:pPr>
                <w:defaultTabStop w:val="720"/>
                <w:hyperlink w:anchor="h5">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סייג למינוי חבר מועצה</w:t>
                </w:r>
              </w:p>
            </w:tc>
            <w:tc>
              <w:tcPr>
                <w:tcW w:w="800" w:type="pct"/>
              </w:tcPr>
              <w:p>
                <w:pPr>
                  <w:bidi/>
                  <w:spacing w:before="45" w:after="5" w:line="250" w:lineRule="auto"/>
                </w:pPr>
                <w:defaultTabStop w:val="720"/>
                <w:r>
                  <w:rPr>
                    <w:lang w:bidi="he-IL"/>
                    <w:rFonts w:hint="cs" w:cs="Times New Roman"/>
                    <w:szCs w:val="24"/>
                    <w:rtl/>
                  </w:rPr>
                  <w:t xml:space="preserve">סעיף 5</w:t>
                </w:r>
              </w:p>
            </w:tc>
          </w:tr>
          <w:tr>
            <w:tc>
              <w:p>
                <w:pPr>
                  <w:bidi/>
                  <w:spacing w:before="45" w:after="5" w:line="250" w:lineRule="auto"/>
                </w:pPr>
                <w:defaultTabStop w:val="720"/>
                <w:hyperlink w:anchor="h6">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יושב ראש המועצה</w:t>
                </w:r>
              </w:p>
            </w:tc>
            <w:tc>
              <w:tcPr>
                <w:tcW w:w="800" w:type="pct"/>
              </w:tcPr>
              <w:p>
                <w:pPr>
                  <w:bidi/>
                  <w:spacing w:before="45" w:after="5" w:line="250" w:lineRule="auto"/>
                </w:pPr>
                <w:defaultTabStop w:val="720"/>
                <w:r>
                  <w:rPr>
                    <w:lang w:bidi="he-IL"/>
                    <w:rFonts w:hint="cs" w:cs="Times New Roman"/>
                    <w:szCs w:val="24"/>
                    <w:rtl/>
                  </w:rPr>
                  <w:t xml:space="preserve">סעיף 6</w:t>
                </w:r>
              </w:p>
            </w:tc>
          </w:tr>
          <w:tr>
            <w:tc>
              <w:p>
                <w:pPr>
                  <w:bidi/>
                  <w:spacing w:before="45" w:after="5" w:line="250" w:lineRule="auto"/>
                </w:pPr>
                <w:defaultTabStop w:val="720"/>
                <w:hyperlink w:anchor="h7">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תקופת כהונה</w:t>
                </w:r>
              </w:p>
            </w:tc>
            <w:tc>
              <w:tcPr>
                <w:tcW w:w="800" w:type="pct"/>
              </w:tcPr>
              <w:p>
                <w:pPr>
                  <w:bidi/>
                  <w:spacing w:before="45" w:after="5" w:line="250" w:lineRule="auto"/>
                </w:pPr>
                <w:defaultTabStop w:val="720"/>
                <w:r>
                  <w:rPr>
                    <w:lang w:bidi="he-IL"/>
                    <w:rFonts w:hint="cs" w:cs="Times New Roman"/>
                    <w:szCs w:val="24"/>
                    <w:rtl/>
                  </w:rPr>
                  <w:t xml:space="preserve">סעיף 7</w:t>
                </w:r>
              </w:p>
            </w:tc>
          </w:tr>
          <w:tr>
            <w:tc>
              <w:p>
                <w:pPr>
                  <w:bidi/>
                  <w:spacing w:before="45" w:after="5" w:line="250" w:lineRule="auto"/>
                </w:pPr>
                <w:defaultTabStop w:val="720"/>
                <w:hyperlink w:anchor="h8">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פקיעת כהונה</w:t>
                </w:r>
              </w:p>
            </w:tc>
            <w:tc>
              <w:tcPr>
                <w:tcW w:w="800" w:type="pct"/>
              </w:tcPr>
              <w:p>
                <w:pPr>
                  <w:bidi/>
                  <w:spacing w:before="45" w:after="5" w:line="250" w:lineRule="auto"/>
                </w:pPr>
                <w:defaultTabStop w:val="720"/>
                <w:r>
                  <w:rPr>
                    <w:lang w:bidi="he-IL"/>
                    <w:rFonts w:hint="cs" w:cs="Times New Roman"/>
                    <w:szCs w:val="24"/>
                    <w:rtl/>
                  </w:rPr>
                  <w:t xml:space="preserve">סעיף 8</w:t>
                </w:r>
              </w:p>
            </w:tc>
          </w:tr>
          <w:tr>
            <w:tc>
              <w:p>
                <w:pPr>
                  <w:bidi/>
                  <w:spacing w:before="45" w:after="5" w:line="250" w:lineRule="auto"/>
                </w:pPr>
                <w:defaultTabStop w:val="720"/>
                <w:hyperlink w:anchor="h9">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סדרי עבודת המועצה</w:t>
                </w:r>
              </w:p>
            </w:tc>
            <w:tc>
              <w:tcPr>
                <w:tcW w:w="800" w:type="pct"/>
              </w:tcPr>
              <w:p>
                <w:pPr>
                  <w:bidi/>
                  <w:spacing w:before="45" w:after="5" w:line="250" w:lineRule="auto"/>
                </w:pPr>
                <w:defaultTabStop w:val="720"/>
                <w:r>
                  <w:rPr>
                    <w:lang w:bidi="he-IL"/>
                    <w:rFonts w:hint="cs" w:cs="Times New Roman"/>
                    <w:szCs w:val="24"/>
                    <w:rtl/>
                  </w:rPr>
                  <w:t xml:space="preserve">סעיף 9</w:t>
                </w:r>
              </w:p>
            </w:tc>
          </w:tr>
          <w:tr>
            <w:tc>
              <w:p>
                <w:pPr>
                  <w:bidi/>
                  <w:spacing w:before="45" w:after="5" w:line="250" w:lineRule="auto"/>
                </w:pPr>
                <w:defaultTabStop w:val="720"/>
                <w:hyperlink w:anchor="h10">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תוקף פעולות</w:t>
                </w:r>
              </w:p>
            </w:tc>
            <w:tc>
              <w:tcPr>
                <w:tcW w:w="800" w:type="pct"/>
              </w:tcPr>
              <w:p>
                <w:pPr>
                  <w:bidi/>
                  <w:spacing w:before="45" w:after="5" w:line="250" w:lineRule="auto"/>
                </w:pPr>
                <w:defaultTabStop w:val="720"/>
                <w:r>
                  <w:rPr>
                    <w:lang w:bidi="he-IL"/>
                    <w:rFonts w:hint="cs" w:cs="Times New Roman"/>
                    <w:szCs w:val="24"/>
                    <w:rtl/>
                  </w:rPr>
                  <w:t xml:space="preserve">סעיף 10</w:t>
                </w:r>
              </w:p>
            </w:tc>
          </w:tr>
          <w:tr>
            <w:tc>
              <w:p>
                <w:pPr>
                  <w:bidi/>
                  <w:spacing w:before="45" w:after="5" w:line="250" w:lineRule="auto"/>
                </w:pPr>
                <w:defaultTabStop w:val="720"/>
                <w:hyperlink w:anchor="h11">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ניגוד ענינים</w:t>
                </w:r>
              </w:p>
            </w:tc>
            <w:tc>
              <w:tcPr>
                <w:tcW w:w="800" w:type="pct"/>
              </w:tcPr>
              <w:p>
                <w:pPr>
                  <w:bidi/>
                  <w:spacing w:before="45" w:after="5" w:line="250" w:lineRule="auto"/>
                </w:pPr>
                <w:defaultTabStop w:val="720"/>
                <w:r>
                  <w:rPr>
                    <w:lang w:bidi="he-IL"/>
                    <w:rFonts w:hint="cs" w:cs="Times New Roman"/>
                    <w:szCs w:val="24"/>
                    <w:rtl/>
                  </w:rPr>
                  <w:t xml:space="preserve">סעיף 11</w:t>
                </w:r>
              </w:p>
            </w:tc>
          </w:tr>
          <w:tr>
            <w:tc>
              <w:p>
                <w:pPr>
                  <w:bidi/>
                  <w:spacing w:before="45" w:after="5" w:line="250" w:lineRule="auto"/>
                </w:pPr>
                <w:defaultTabStop w:val="720"/>
                <w:hyperlink w:anchor="h12">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תקציב</w:t>
                </w:r>
              </w:p>
            </w:tc>
            <w:tc>
              <w:tcPr>
                <w:tcW w:w="800" w:type="pct"/>
              </w:tcPr>
              <w:p>
                <w:pPr>
                  <w:bidi/>
                  <w:spacing w:before="45" w:after="5" w:line="250" w:lineRule="auto"/>
                </w:pPr>
                <w:defaultTabStop w:val="720"/>
                <w:r>
                  <w:rPr>
                    <w:lang w:bidi="he-IL"/>
                    <w:rFonts w:hint="cs" w:cs="Times New Roman"/>
                    <w:szCs w:val="24"/>
                    <w:rtl/>
                  </w:rPr>
                  <w:t xml:space="preserve">סעיף 12</w:t>
                </w:r>
              </w:p>
            </w:tc>
          </w:tr>
          <w:tr>
            <w:tc>
              <w:p>
                <w:pPr>
                  <w:bidi/>
                  <w:spacing w:before="45" w:after="5" w:line="250" w:lineRule="auto"/>
                </w:pPr>
                <w:defaultTabStop w:val="720"/>
                <w:hyperlink w:anchor="h13">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פיקוח</w:t>
                </w:r>
              </w:p>
            </w:tc>
            <w:tc>
              <w:tcPr>
                <w:tcW w:w="800" w:type="pct"/>
              </w:tcPr>
              <w:p>
                <w:pPr>
                  <w:bidi/>
                  <w:spacing w:before="45" w:after="5" w:line="250" w:lineRule="auto"/>
                </w:pPr>
                <w:defaultTabStop w:val="720"/>
                <w:r>
                  <w:rPr>
                    <w:lang w:bidi="he-IL"/>
                    <w:rFonts w:hint="cs" w:cs="Times New Roman"/>
                    <w:szCs w:val="24"/>
                    <w:rtl/>
                  </w:rPr>
                  <w:t xml:space="preserve">סעיף 13</w:t>
                </w:r>
              </w:p>
            </w:tc>
          </w:tr>
          <w:tr>
            <w:tc>
              <w:p>
                <w:pPr>
                  <w:bidi/>
                  <w:spacing w:before="45" w:after="5" w:line="250" w:lineRule="auto"/>
                </w:pPr>
                <w:defaultTabStop w:val="720"/>
                <w:hyperlink w:anchor="h14">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גמול והחזר הוצאות</w:t>
                </w:r>
              </w:p>
            </w:tc>
            <w:tc>
              <w:tcPr>
                <w:tcW w:w="800" w:type="pct"/>
              </w:tcPr>
              <w:p>
                <w:pPr>
                  <w:bidi/>
                  <w:spacing w:before="45" w:after="5" w:line="250" w:lineRule="auto"/>
                </w:pPr>
                <w:defaultTabStop w:val="720"/>
                <w:r>
                  <w:rPr>
                    <w:lang w:bidi="he-IL"/>
                    <w:rFonts w:hint="cs" w:cs="Times New Roman"/>
                    <w:szCs w:val="24"/>
                    <w:rtl/>
                  </w:rPr>
                  <w:t xml:space="preserve">סעיף 14</w:t>
                </w:r>
              </w:p>
            </w:tc>
          </w:tr>
          <w:tr>
            <w:tc>
              <w:p>
                <w:pPr>
                  <w:bidi/>
                  <w:spacing w:before="45" w:after="5" w:line="250" w:lineRule="auto"/>
                </w:pPr>
                <w:defaultTabStop w:val="720"/>
                <w:hyperlink w:anchor="h15">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ביצוע ותקנות</w:t>
                </w:r>
              </w:p>
            </w:tc>
            <w:tc>
              <w:tcPr>
                <w:tcW w:w="800" w:type="pct"/>
              </w:tcPr>
              <w:p>
                <w:pPr>
                  <w:bidi/>
                  <w:spacing w:before="45" w:after="5" w:line="250" w:lineRule="auto"/>
                </w:pPr>
                <w:defaultTabStop w:val="720"/>
                <w:r>
                  <w:rPr>
                    <w:lang w:bidi="he-IL"/>
                    <w:rFonts w:hint="cs" w:cs="Times New Roman"/>
                    <w:szCs w:val="24"/>
                    <w:rtl/>
                  </w:rPr>
                  <w:t xml:space="preserve">סעיף 15</w:t>
                </w:r>
              </w:p>
            </w:tc>
          </w:tr>
          <w:tr>
            <w:tc>
              <w:p>
                <w:pPr>
                  <w:bidi/>
                  <w:spacing w:before="45" w:after="5" w:line="250" w:lineRule="auto"/>
                </w:pPr>
                <w:defaultTabStop w:val="720"/>
                <w:hyperlink w:anchor="h16">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שמירת דינים</w:t>
                </w:r>
              </w:p>
            </w:tc>
            <w:tc>
              <w:tcPr>
                <w:tcW w:w="800" w:type="pct"/>
              </w:tcPr>
              <w:p>
                <w:pPr>
                  <w:bidi/>
                  <w:spacing w:before="45" w:after="5" w:line="250" w:lineRule="auto"/>
                </w:pPr>
                <w:defaultTabStop w:val="720"/>
                <w:r>
                  <w:rPr>
                    <w:lang w:bidi="he-IL"/>
                    <w:rFonts w:hint="cs" w:cs="Times New Roman"/>
                    <w:szCs w:val="24"/>
                    <w:rtl/>
                  </w:rPr>
                  <w:t xml:space="preserve">סעיף 16</w:t>
                </w:r>
              </w:p>
            </w:tc>
          </w:tr>
          <w:tr>
            <w:tc>
              <w:p>
                <w:pPr>
                  <w:bidi/>
                  <w:spacing w:before="45" w:after="5" w:line="250" w:lineRule="auto"/>
                </w:pPr>
                <w:defaultTabStop w:val="720"/>
                <w:hyperlink w:anchor="h17">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פרסום ברשומות</w:t>
                </w:r>
              </w:p>
            </w:tc>
            <w:tc>
              <w:tcPr>
                <w:tcW w:w="800" w:type="pct"/>
              </w:tcPr>
              <w:p>
                <w:pPr>
                  <w:bidi/>
                  <w:spacing w:before="45" w:after="5" w:line="250" w:lineRule="auto"/>
                </w:pPr>
                <w:defaultTabStop w:val="720"/>
                <w:r>
                  <w:rPr>
                    <w:lang w:bidi="he-IL"/>
                    <w:rFonts w:hint="cs" w:cs="Times New Roman"/>
                    <w:szCs w:val="24"/>
                    <w:rtl/>
                  </w:rPr>
                  <w:t xml:space="preserve">סעיף 17</w:t>
                </w:r>
              </w:p>
            </w:tc>
          </w:tr>
          <w:tr>
            <w:tc>
              <w:p>
                <w:pPr>
                  <w:bidi/>
                  <w:spacing w:before="45" w:after="5" w:line="250" w:lineRule="auto"/>
                </w:pPr>
                <w:defaultTabStop w:val="720"/>
                <w:hyperlink w:anchor="h18">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תחילה</w:t>
                </w:r>
              </w:p>
            </w:tc>
            <w:tc>
              <w:tcPr>
                <w:tcW w:w="800" w:type="pct"/>
              </w:tcPr>
              <w:p>
                <w:pPr>
                  <w:bidi/>
                  <w:spacing w:before="45" w:after="5" w:line="250" w:lineRule="auto"/>
                </w:pPr>
                <w:defaultTabStop w:val="720"/>
                <w:r>
                  <w:rPr>
                    <w:lang w:bidi="he-IL"/>
                    <w:rFonts w:hint="cs" w:cs="Times New Roman"/>
                    <w:szCs w:val="24"/>
                    <w:rtl/>
                  </w:rPr>
                  <w:t xml:space="preserve">סעיף 18</w:t>
                </w:r>
              </w:p>
            </w:tc>
          </w:tr>
          <w:tr>
            <w:tc>
              <w:p>
                <w:pPr>
                  <w:bidi/>
                  <w:spacing w:before="45" w:after="5" w:line="250" w:lineRule="auto"/>
                </w:pPr>
                <w:defaultTabStop w:val="720"/>
                <w:hyperlink w:anchor="h19">
                  <w:r>
                    <w:rPr>
                      <w:color w:val="0000FE"/>
                      <w:u w:val="single"/>
                      <w:lang w:bidi="he-IL"/>
                      <w:rFonts w:hint="cs" w:cs="Times New Roman"/>
                      <w:szCs w:val="24"/>
                      <w:rtl/>
                    </w:rPr>
                    <w:t xml:space="preserve">Go</w:t>
                  </w:r>
                </w:hyperlink>
              </w:p>
              <w:tcPr>
                <w:tcW w:w="300" w:type="pct"/>
              </w:tcPr>
            </w:tc>
            <w:tc>
              <w:p>
                <w:pPr>
                  <w:bidi/>
                  <w:spacing w:before="45" w:after="5" w:line="250" w:lineRule="auto"/>
                </w:pPr>
                <w:defaultTabStop w:val="720"/>
                <w:r>
                  <w:rPr>
                    <w:lang w:bidi="he-IL"/>
                    <w:rFonts w:hint="cs" w:cs="Times New Roman"/>
                    <w:szCs w:val="24"/>
                    <w:rtl/>
                  </w:rPr>
                  <w:t xml:space="preserve">חובת התקנת תקנות ראשונות</w:t>
                </w:r>
              </w:p>
            </w:tc>
            <w:tc>
              <w:tcPr>
                <w:tcW w:w="800" w:type="pct"/>
              </w:tcPr>
              <w:p>
                <w:pPr>
                  <w:bidi/>
                  <w:spacing w:before="45" w:after="5" w:line="250" w:lineRule="auto"/>
                </w:pPr>
                <w:defaultTabStop w:val="720"/>
                <w:r>
                  <w:rPr>
                    <w:lang w:bidi="he-IL"/>
                    <w:rFonts w:hint="cs" w:cs="Times New Roman"/>
                    <w:szCs w:val="24"/>
                    <w:rtl/>
                  </w:rPr>
                  <w:t xml:space="preserve">סעיף 19</w:t>
                </w:r>
              </w:p>
            </w:tc>
          </w:tr>
        </w:tbl>
        <w:br w:type="page"/>
      </w:r>
    </w:p>
    <w:p>
      <w:pPr>
        <w:bidi/>
        <w:spacing w:before="45" w:after="70" w:line="250" w:lineRule="auto"/>
        <w:jc w:val="center"/>
      </w:pPr>
      <w:defaultTabStop w:val="720"/>
      <w:r>
        <w:rPr>
          <w:lang w:bidi="he-IL"/>
          <w:rFonts w:hint="cs" w:cs="FrankRuehl"/>
          <w:szCs w:val="32"/>
          <w:rtl/>
        </w:rPr>
        <w:t xml:space="preserve">חוק גנים בוטניים, תשס"ו-2006</w:t>
      </w:r>
    </w:p>
    <w:p>
      <w:pPr>
        <w:bidi/>
        <w:spacing w:before="45" w:after="50" w:line="250" w:lineRule="auto"/>
        <w:ind/>
        <w:jc w:val="both"/>
        <w:tabs>
          <w:tab w:pos="720"/>
          <w:tab w:pos="1440"/>
          <w:tab w:pos="2160"/>
          <w:tab w:pos="2880"/>
          <w:tab w:pos="3600"/>
        </w:tabs>
        <w:ind w:start="720" w:hanging="720"/>
      </w:pPr>
      <w:defaultTabStop w:val="720"/>
      <w:bookmarkStart w:name="h1" w:id="1"/>
      <w:bookmarkEnd w:id="1"/>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הגדרות</w:t>
                </w:r>
              </w:p>
            </w:txbxContent>
          </v:textbox>
        </v:rect>
      </w:pict>
      <w:r>
        <w:rPr>
          <w:lang w:bidi="he-IL"/>
          <w:rFonts w:hint="cs" w:cs="FrankRuehl"/>
          <w:szCs w:val="34"/>
          <w:rtl/>
        </w:rPr>
        <w:t xml:space="preserve">1.</w:t>
      </w:r>
      <w:r>
        <w:rPr>
          <w:lang w:bidi="he-IL"/>
          <w:rFonts w:hint="cs" w:cs="FrankRuehl"/>
          <w:szCs w:val="26"/>
          <w:rtl/>
        </w:rPr>
        <w:tab/>
        <w:t xml:space="preserve">בחוק זה –</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"גן בוטני" – גן נטוע צמחים שונים לפי שיטה מדעית מסוימת ולמטרה מחקרית, מדעית או חינוכית;</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"גן בוטני מוכר" – גן בוטני אשר השר הכיר בו בהתאם להוראות סעיף 2;</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"האקדמיה הלאומית הישראלית למדעים" – כמשמעותה בחוק האקדמיה הלאומית הישראלית למדעים, התשכ"א-1961;</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"המנהל" – המנהל הכללי של משרד החקלאות ופיתוח הכפר;</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"המועצה" – המועצה לגנים בוטניים שמונתה לפי הוראות סעיף 4;</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"חוק יסודות התקציב" – חוק יסודות התקציב, התשמ"ה-1985;</w:t>
      </w:r>
    </w:p>
    <w:p>
      <w:pPr>
        <w:bidi/>
        <w:spacing w:before="45" w:after="50" w:line="250" w:lineRule="auto"/>
        <w:ind/>
        <w:jc w:val="both"/>
        <w:tabs>
          <w:tab w:pos="720"/>
          <w:tab w:pos="1440"/>
          <w:tab w:pos="2160"/>
          <w:tab w:pos="2880"/>
          <w:tab w:pos="3600"/>
        </w:tabs>
        <w:ind w:start="720" w:hanging=""/>
      </w:pPr>
      <w:defaultTabStop w:val="720"/>
      <w:r>
        <w:rPr>
          <w:lang w:bidi="he-IL"/>
          <w:rFonts w:hint="cs" w:cs="FrankRuehl"/>
          <w:szCs w:val="26"/>
          <w:rtl/>
        </w:rPr>
        <w:t xml:space="preserve">"השר" – שר החקלאות ופיתוח הכפר.</w:t>
      </w:r>
    </w:p>
    <w:p>
      <w:pPr>
        <w:bidi/>
        <w:spacing w:before="45" w:after="50" w:line="250" w:lineRule="auto"/>
        <w:ind/>
        <w:jc w:val="both"/>
        <w:tabs>
          <w:tab w:pos="720"/>
          <w:tab w:pos="1440"/>
          <w:tab w:pos="2160"/>
          <w:tab w:pos="2880"/>
          <w:tab w:pos="3600"/>
        </w:tabs>
        <w:ind w:start="1440" w:hanging="1440"/>
      </w:pPr>
      <w:defaultTabStop w:val="720"/>
      <w:bookmarkStart w:name="h2" w:id="2"/>
      <w:bookmarkEnd w:id="2"/>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הכרה בגן בוטני</w:t>
                </w:r>
              </w:p>
            </w:txbxContent>
          </v:textbox>
        </v:rect>
      </w:pict>
      <w:r>
        <w:rPr>
          <w:lang w:bidi="he-IL"/>
          <w:rFonts w:hint="cs" w:cs="FrankRuehl"/>
          <w:szCs w:val="34"/>
          <w:rtl/>
        </w:rPr>
        <w:t xml:space="preserve">2.</w:t>
        <w:tab/>
      </w:r>
      <w:r>
        <w:rPr>
          <w:lang w:bidi="he-IL"/>
          <w:rFonts w:hint="cs" w:cs="FrankRuehl"/>
          <w:szCs w:val="26"/>
          <w:rtl/>
        </w:rPr>
        <w:t xml:space="preserve">(א)</w:t>
      </w:r>
      <w:r>
        <w:rPr>
          <w:lang w:bidi="he-IL"/>
          <w:rFonts w:hint="cs" w:cs="FrankRuehl"/>
          <w:szCs w:val="26"/>
          <w:rtl/>
        </w:rPr>
        <w:tab/>
        <w:t xml:space="preserve">השר רשאי, לבקשת גן בוטני ולאחר התייעצות עם המועצה, להכיר בגן בוטני לענין חוק זה, אם נתקיימו לגביו כל אלה: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(1)</w:t>
      </w:r>
      <w:r>
        <w:rPr>
          <w:lang w:bidi="he-IL"/>
          <w:rFonts w:hint="cs" w:cs="FrankRuehl"/>
          <w:szCs w:val="26"/>
          <w:rtl/>
        </w:rPr>
        <w:tab/>
        <w:t xml:space="preserve">בגן הבוטני קיימים 3,000 מיני צמחים שונים לפחות;</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(2)</w:t>
      </w:r>
      <w:r>
        <w:rPr>
          <w:lang w:bidi="he-IL"/>
          <w:rFonts w:hint="cs" w:cs="FrankRuehl"/>
          <w:szCs w:val="26"/>
          <w:rtl/>
        </w:rPr>
        <w:tab/>
        <w:t xml:space="preserve">הצמחים מסומנים בשמם המדעי;</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(3)</w:t>
      </w:r>
      <w:r>
        <w:rPr>
          <w:lang w:bidi="he-IL"/>
          <w:rFonts w:hint="cs" w:cs="FrankRuehl"/>
          <w:szCs w:val="26"/>
          <w:rtl/>
        </w:rPr>
        <w:tab/>
        <w:t xml:space="preserve">המידע אודות הצמחים מתועד במאגר מידע;</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(4)</w:t>
      </w:r>
      <w:r>
        <w:rPr>
          <w:lang w:bidi="he-IL"/>
          <w:rFonts w:hint="cs" w:cs="FrankRuehl"/>
          <w:szCs w:val="26"/>
          <w:rtl/>
        </w:rPr>
        <w:tab/>
        <w:t xml:space="preserve">הגן הבוטני מיועד לאחת או יותר מהמטרות האלה:</w:t>
      </w:r>
    </w:p>
    <w:p>
      <w:pPr>
        <w:bidi/>
        <w:spacing w:before="45" w:after="50" w:line="250" w:lineRule="auto"/>
        <w:ind/>
        <w:jc w:val="both"/>
        <w:tabs>
          <w:tab w:pos="720"/>
          <w:tab w:pos="1440"/>
          <w:tab w:pos="2160"/>
          <w:tab w:pos="2880"/>
          <w:tab w:pos="3600"/>
        </w:tabs>
        <w:ind w:start="2880" w:hanging="720"/>
      </w:pPr>
      <w:defaultTabStop w:val="720"/>
      <w:r>
        <w:rPr>
          <w:lang w:bidi="he-IL"/>
          <w:rFonts w:hint="cs" w:cs="FrankRuehl"/>
          <w:szCs w:val="26"/>
          <w:rtl/>
        </w:rPr>
        <w:t xml:space="preserve">(א)</w:t>
      </w:r>
      <w:r>
        <w:rPr>
          <w:lang w:bidi="he-IL"/>
          <w:rFonts w:hint="cs" w:cs="FrankRuehl"/>
          <w:szCs w:val="26"/>
          <w:rtl/>
        </w:rPr>
        <w:tab/>
        <w:t xml:space="preserve">שימור מיני צמחים ייחודים;</w:t>
      </w:r>
    </w:p>
    <w:p>
      <w:pPr>
        <w:bidi/>
        <w:spacing w:before="45" w:after="50" w:line="250" w:lineRule="auto"/>
        <w:ind/>
        <w:jc w:val="both"/>
        <w:tabs>
          <w:tab w:pos="720"/>
          <w:tab w:pos="1440"/>
          <w:tab w:pos="2160"/>
          <w:tab w:pos="2880"/>
          <w:tab w:pos="3600"/>
        </w:tabs>
        <w:ind w:start="2880" w:hanging="720"/>
      </w:pPr>
      <w:defaultTabStop w:val="720"/>
      <w:r>
        <w:rPr>
          <w:lang w:bidi="he-IL"/>
          <w:rFonts w:hint="cs" w:cs="FrankRuehl"/>
          <w:szCs w:val="26"/>
          <w:rtl/>
        </w:rPr>
        <w:t xml:space="preserve">(ב)</w:t>
      </w:r>
      <w:r>
        <w:rPr>
          <w:lang w:bidi="he-IL"/>
          <w:rFonts w:hint="cs" w:cs="FrankRuehl"/>
          <w:szCs w:val="26"/>
          <w:rtl/>
        </w:rPr>
        <w:tab/>
        <w:t xml:space="preserve">אקלום צמחים;</w:t>
      </w:r>
    </w:p>
    <w:p>
      <w:pPr>
        <w:bidi/>
        <w:spacing w:before="45" w:after="50" w:line="250" w:lineRule="auto"/>
        <w:ind/>
        <w:jc w:val="both"/>
        <w:tabs>
          <w:tab w:pos="720"/>
          <w:tab w:pos="1440"/>
          <w:tab w:pos="2160"/>
          <w:tab w:pos="2880"/>
          <w:tab w:pos="3600"/>
        </w:tabs>
        <w:ind w:start="2880" w:hanging="720"/>
      </w:pPr>
      <w:defaultTabStop w:val="720"/>
      <w:r>
        <w:rPr>
          <w:lang w:bidi="he-IL"/>
          <w:rFonts w:hint="cs" w:cs="FrankRuehl"/>
          <w:szCs w:val="26"/>
          <w:rtl/>
        </w:rPr>
        <w:t xml:space="preserve">(ג)</w:t>
      </w:r>
      <w:r>
        <w:rPr>
          <w:lang w:bidi="he-IL"/>
          <w:rFonts w:hint="cs" w:cs="FrankRuehl"/>
          <w:szCs w:val="26"/>
          <w:rtl/>
        </w:rPr>
        <w:tab/>
        <w:t xml:space="preserve">הוראה ומחקר בתחום הבוטניקה, האקולוגיה או החקלאות;</w:t>
      </w:r>
    </w:p>
    <w:p>
      <w:pPr>
        <w:bidi/>
        <w:spacing w:before="45" w:after="50" w:line="250" w:lineRule="auto"/>
        <w:ind/>
        <w:jc w:val="both"/>
        <w:tabs>
          <w:tab w:pos="720"/>
          <w:tab w:pos="1440"/>
          <w:tab w:pos="2160"/>
          <w:tab w:pos="2880"/>
          <w:tab w:pos="3600"/>
        </w:tabs>
        <w:ind w:start="2880" w:hanging="720"/>
      </w:pPr>
      <w:defaultTabStop w:val="720"/>
      <w:r>
        <w:rPr>
          <w:lang w:bidi="he-IL"/>
          <w:rFonts w:hint="cs" w:cs="FrankRuehl"/>
          <w:szCs w:val="26"/>
          <w:rtl/>
        </w:rPr>
        <w:t xml:space="preserve">(ד)</w:t>
      </w:r>
      <w:r>
        <w:rPr>
          <w:lang w:bidi="he-IL"/>
          <w:rFonts w:hint="cs" w:cs="FrankRuehl"/>
          <w:szCs w:val="26"/>
          <w:rtl/>
        </w:rPr>
        <w:tab/>
        <w:t xml:space="preserve">מטרה אחרת שקבע השר בצו, לאחר התייעצות עם המועצה, ובאישור ועדת הכלכלה של הכנסת;</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(5)</w:t>
      </w:r>
      <w:r>
        <w:rPr>
          <w:lang w:bidi="he-IL"/>
          <w:rFonts w:hint="cs" w:cs="FrankRuehl"/>
          <w:szCs w:val="26"/>
          <w:rtl/>
        </w:rPr>
        <w:tab/>
        <w:t xml:space="preserve">הגן הבוטני הוא מוסד ללא כוונת רווח, כהגדרתו בחוק מס ערך מוסף, התשל"ו-1975, והושקעו בו כספים ממקורות עצמיים, או שיש לו הכנסות עצמיות, בהיקף שקבע השר;</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(6)</w:t>
      </w:r>
      <w:r>
        <w:rPr>
          <w:lang w:bidi="he-IL"/>
          <w:rFonts w:hint="cs" w:cs="FrankRuehl"/>
          <w:szCs w:val="26"/>
          <w:rtl/>
        </w:rPr>
        <w:tab/>
        <w:t xml:space="preserve">אושרה תכנית המייעדת את שטח הגן הבוטני לשטח פתוח, בהתאם להוראות לפי חוק התכנון והבניה, התשכ"ה-1965.</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השר, באישור המועצה, רשאי להכיר בגן בוטני לענין חוק זה, אף אם לא נתמלא לגביו התנאי האמור בסעיף קטן (א)(1), אם יש לדעתו טעמים המצדיקים זאת.</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(ג)</w:t>
      </w:r>
      <w:r>
        <w:rPr>
          <w:lang w:bidi="he-IL"/>
          <w:rFonts w:hint="cs" w:cs="FrankRuehl"/>
          <w:szCs w:val="26"/>
          <w:rtl/>
        </w:rPr>
        <w:tab/>
        <w:t xml:space="preserve">השר רשאי, לאחר התייעצות עם המועצה ובאישור ועדת הכלכלה של הכנסת, לקבוע כללים ותנאים נוספים להכרה בגן בוטני לענין חוק זה.</w:t>
      </w:r>
    </w:p>
    <w:p>
      <w:pPr>
        <w:bidi/>
        <w:spacing w:before="45" w:after="50" w:line="250" w:lineRule="auto"/>
        <w:ind/>
        <w:jc w:val="both"/>
        <w:tabs>
          <w:tab w:pos="720"/>
          <w:tab w:pos="1440"/>
          <w:tab w:pos="2160"/>
          <w:tab w:pos="2880"/>
          <w:tab w:pos="3600"/>
        </w:tabs>
        <w:ind w:start="720" w:hanging="720"/>
      </w:pPr>
      <w:defaultTabStop w:val="720"/>
      <w:bookmarkStart w:name="h3" w:id="3"/>
      <w:bookmarkEnd w:id="3"/>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ביטול הכרה</w:t>
                </w:r>
              </w:p>
            </w:txbxContent>
          </v:textbox>
        </v:rect>
      </w:pict>
      <w:r>
        <w:rPr>
          <w:lang w:bidi="he-IL"/>
          <w:rFonts w:hint="cs" w:cs="FrankRuehl"/>
          <w:szCs w:val="34"/>
          <w:rtl/>
        </w:rPr>
        <w:t xml:space="preserve">3.</w:t>
      </w:r>
      <w:r>
        <w:rPr>
          <w:lang w:bidi="he-IL"/>
          <w:rFonts w:hint="cs" w:cs="FrankRuehl"/>
          <w:szCs w:val="26"/>
          <w:rtl/>
        </w:rPr>
        <w:tab/>
        <w:t xml:space="preserve">השר רשאי, לאחר התייעצות עם המועצה, לבטל או להתלות הכרה בגן בוטני, אם חדל להתקיים בו תנאי מהתנאים המנויים בסעיף 2, או אם לא נתקיימו בו ההוראות לפי חוק זה.</w:t>
      </w:r>
    </w:p>
    <w:p>
      <w:pPr>
        <w:bidi/>
        <w:spacing w:before="45" w:after="50" w:line="250" w:lineRule="auto"/>
        <w:ind/>
        <w:jc w:val="both"/>
        <w:tabs>
          <w:tab w:pos="720"/>
          <w:tab w:pos="1440"/>
          <w:tab w:pos="2160"/>
          <w:tab w:pos="2880"/>
          <w:tab w:pos="3600"/>
        </w:tabs>
        <w:ind w:start="1440" w:hanging="1440"/>
      </w:pPr>
      <w:defaultTabStop w:val="720"/>
      <w:bookmarkStart w:name="h4" w:id="4"/>
      <w:bookmarkEnd w:id="4"/>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מועצה לגנים בוטניים</w:t>
                </w:r>
              </w:p>
            </w:txbxContent>
          </v:textbox>
        </v:rect>
      </w:pict>
      <w:r>
        <w:rPr>
          <w:lang w:bidi="he-IL"/>
          <w:rFonts w:hint="cs" w:cs="FrankRuehl"/>
          <w:szCs w:val="34"/>
          <w:rtl/>
        </w:rPr>
        <w:t xml:space="preserve">4.</w:t>
        <w:tab/>
      </w:r>
      <w:r>
        <w:rPr>
          <w:lang w:bidi="he-IL"/>
          <w:rFonts w:hint="cs" w:cs="FrankRuehl"/>
          <w:szCs w:val="26"/>
          <w:rtl/>
        </w:rPr>
        <w:t xml:space="preserve">(א)</w:t>
      </w:r>
      <w:r>
        <w:rPr>
          <w:lang w:bidi="he-IL"/>
          <w:rFonts w:hint="cs" w:cs="FrankRuehl"/>
          <w:szCs w:val="26"/>
          <w:rtl/>
        </w:rPr>
        <w:tab/>
        <w:t xml:space="preserve">השר, בהתייעצות עם האקדמיה הלאומית הישראלית למדעים, ימנה מועצה לגנים בוטניים.</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המועצה תהיה בת 11 חברים, ואלו הם:</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(1)</w:t>
      </w:r>
      <w:r>
        <w:rPr>
          <w:lang w:bidi="he-IL"/>
          <w:rFonts w:hint="cs" w:cs="FrankRuehl"/>
          <w:szCs w:val="26"/>
          <w:rtl/>
        </w:rPr>
        <w:tab/>
        <w:t xml:space="preserve">נציג משרד החקלאות ופיתוח הכפר;</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(2)</w:t>
      </w:r>
      <w:r>
        <w:rPr>
          <w:lang w:bidi="he-IL"/>
          <w:rFonts w:hint="cs" w:cs="FrankRuehl"/>
          <w:szCs w:val="26"/>
          <w:rtl/>
        </w:rPr>
        <w:tab/>
        <w:t xml:space="preserve">נציג משרד החינוך התרבות והספורט, לפי המלצת שר החינוך התרבות והספורט;</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(3)</w:t>
      </w:r>
      <w:r>
        <w:rPr>
          <w:lang w:bidi="he-IL"/>
          <w:rFonts w:hint="cs" w:cs="FrankRuehl"/>
          <w:szCs w:val="26"/>
          <w:rtl/>
        </w:rPr>
        <w:tab/>
        <w:t xml:space="preserve">נציג משרד המדע והטכנולוגיה, לפי המלצת שר המדע והטכנולוגיה;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(4)</w:t>
      </w:r>
      <w:r>
        <w:rPr>
          <w:lang w:bidi="he-IL"/>
          <w:rFonts w:hint="cs" w:cs="FrankRuehl"/>
          <w:szCs w:val="26"/>
          <w:rtl/>
        </w:rPr>
        <w:tab/>
        <w:t xml:space="preserve">נציג רשות מקרקעי ישראל;</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(5)</w:t>
      </w:r>
      <w:r>
        <w:rPr>
          <w:lang w:bidi="he-IL"/>
          <w:rFonts w:hint="cs" w:cs="FrankRuehl"/>
          <w:szCs w:val="26"/>
          <w:rtl/>
        </w:rPr>
        <w:tab/>
        <w:t xml:space="preserve">איש מקצוע מתחומי הגננות, אדריכלות הנוף והחקלאות, שאינו עובד המדינה;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(6)</w:t>
      </w:r>
      <w:r>
        <w:rPr>
          <w:lang w:bidi="he-IL"/>
          <w:rFonts w:hint="cs" w:cs="FrankRuehl"/>
          <w:szCs w:val="26"/>
          <w:rtl/>
        </w:rPr>
        <w:tab/>
        <w:t xml:space="preserve">שלושה אנשי הסגל האקדמאי במוסדות מוכרים בארץ שמומחיותם בתחום הבוטניקה, האקולוגיה או החקלאות; בפסקה זו, "מוסד מוכר" – כמשמעותו בסעיף 9 לחוק המועצה להשכלה גבוהה, התשי"ח-1958;</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(7)</w:t>
      </w:r>
      <w:r>
        <w:rPr>
          <w:lang w:bidi="he-IL"/>
          <w:rFonts w:hint="cs" w:cs="FrankRuehl"/>
          <w:szCs w:val="26"/>
          <w:rtl/>
        </w:rPr>
        <w:tab/>
        <w:t xml:space="preserve">נציג הקרן הקיימת לישראל;</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(8)</w:t>
      </w:r>
      <w:r>
        <w:rPr>
          <w:lang w:bidi="he-IL"/>
          <w:rFonts w:hint="cs" w:cs="FrankRuehl"/>
          <w:szCs w:val="26"/>
          <w:rtl/>
        </w:rPr>
        <w:tab/>
        <w:t xml:space="preserve">נציג מרכז השלטון המקומי;</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(9)</w:t>
      </w:r>
      <w:r>
        <w:rPr>
          <w:lang w:bidi="he-IL"/>
          <w:rFonts w:hint="cs" w:cs="FrankRuehl"/>
          <w:szCs w:val="26"/>
          <w:rtl/>
        </w:rPr>
        <w:tab/>
        <w:t xml:space="preserve">נציג ציבור.</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(ג)</w:t>
      </w:r>
      <w:r>
        <w:rPr>
          <w:lang w:bidi="he-IL"/>
          <w:rFonts w:hint="cs" w:cs="FrankRuehl"/>
          <w:szCs w:val="26"/>
          <w:rtl/>
        </w:rPr>
        <w:tab/>
        <w:t xml:space="preserve">בישיבות המועצה רשאים להיות נוכחים, בלא זכות הצבעה, נציג נוסף מטעם משרד החקלאות ופיתוח הכפר שימנה השר ונציג המשרד לאיכות הסביבה שימנה השר לאיכות הסביבה.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(ד)</w:t>
      </w:r>
      <w:r>
        <w:rPr>
          <w:lang w:bidi="he-IL"/>
          <w:rFonts w:hint="cs" w:cs="FrankRuehl"/>
          <w:szCs w:val="26"/>
          <w:rtl/>
        </w:rPr>
        <w:tab/>
        <w:t xml:space="preserve">המועצה תמלא את התפקידים המוטלים עליה לפי חוק זה, ותייעץ בכל ענין הנוגע לביצועו של החוק.</w:t>
      </w:r>
    </w:p>
    <w:p>
      <w:pPr>
        <w:bidi/>
        <w:spacing w:before="45" w:after="50" w:line="250" w:lineRule="auto"/>
        <w:ind/>
        <w:jc w:val="both"/>
        <w:tabs>
          <w:tab w:pos="720"/>
          <w:tab w:pos="1440"/>
          <w:tab w:pos="2160"/>
          <w:tab w:pos="2880"/>
          <w:tab w:pos="3600"/>
        </w:tabs>
        <w:ind w:start="720" w:hanging="720"/>
      </w:pPr>
      <w:defaultTabStop w:val="720"/>
      <w:bookmarkStart w:name="h5" w:id="5"/>
      <w:bookmarkEnd w:id="5"/>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סייג למינוי חבר מועצה</w:t>
                </w:r>
              </w:p>
            </w:txbxContent>
          </v:textbox>
        </v:rect>
      </w:pict>
      <w:r>
        <w:rPr>
          <w:lang w:bidi="he-IL"/>
          <w:rFonts w:hint="cs" w:cs="FrankRuehl"/>
          <w:szCs w:val="34"/>
          <w:rtl/>
        </w:rPr>
        <w:t xml:space="preserve">5.</w:t>
      </w:r>
      <w:r>
        <w:rPr>
          <w:lang w:bidi="he-IL"/>
          <w:rFonts w:hint="cs" w:cs="FrankRuehl"/>
          <w:szCs w:val="26"/>
          <w:rtl/>
        </w:rPr>
        <w:tab/>
        <w:t xml:space="preserve">לא ימונה לחבר המועצה מי שהורשע בעבירה אשר מפאת מהותה, חומרתה או נסיבותיה אין הוא ראוי לכהן כחבר המועצה.</w:t>
      </w:r>
    </w:p>
    <w:p>
      <w:pPr>
        <w:bidi/>
        <w:spacing w:before="45" w:after="50" w:line="250" w:lineRule="auto"/>
        <w:ind/>
        <w:jc w:val="both"/>
        <w:tabs>
          <w:tab w:pos="720"/>
          <w:tab w:pos="1440"/>
          <w:tab w:pos="2160"/>
          <w:tab w:pos="2880"/>
          <w:tab w:pos="3600"/>
        </w:tabs>
        <w:ind w:start="720" w:hanging="720"/>
      </w:pPr>
      <w:defaultTabStop w:val="720"/>
      <w:bookmarkStart w:name="h6" w:id="6"/>
      <w:bookmarkEnd w:id="6"/>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יושב ראש המועצה</w:t>
                </w:r>
              </w:p>
            </w:txbxContent>
          </v:textbox>
        </v:rect>
      </w:pict>
      <w:r>
        <w:rPr>
          <w:lang w:bidi="he-IL"/>
          <w:rFonts w:hint="cs" w:cs="FrankRuehl"/>
          <w:szCs w:val="34"/>
          <w:rtl/>
        </w:rPr>
        <w:t xml:space="preserve">6.</w:t>
      </w:r>
      <w:r>
        <w:rPr>
          <w:lang w:bidi="he-IL"/>
          <w:rFonts w:hint="cs" w:cs="FrankRuehl"/>
          <w:szCs w:val="26"/>
          <w:rtl/>
        </w:rPr>
        <w:tab/>
        <w:t xml:space="preserve">השר ימנה את יושב ראש המועצה ואת ממלא מקומו הקבוע מבין חברי המועצה האמורים בפסקאות (4) עד (9) של סעיף 4.</w:t>
      </w:r>
    </w:p>
    <w:p>
      <w:pPr>
        <w:bidi/>
        <w:spacing w:before="45" w:after="50" w:line="250" w:lineRule="auto"/>
        <w:ind/>
        <w:jc w:val="both"/>
        <w:tabs>
          <w:tab w:pos="720"/>
          <w:tab w:pos="1440"/>
          <w:tab w:pos="2160"/>
          <w:tab w:pos="2880"/>
          <w:tab w:pos="3600"/>
        </w:tabs>
        <w:ind w:start="720" w:hanging="720"/>
      </w:pPr>
      <w:defaultTabStop w:val="720"/>
      <w:bookmarkStart w:name="h7" w:id="7"/>
      <w:bookmarkEnd w:id="7"/>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תקופת כהונה</w:t>
                </w:r>
              </w:p>
            </w:txbxContent>
          </v:textbox>
        </v:rect>
      </w:pict>
      <w:r>
        <w:rPr>
          <w:lang w:bidi="he-IL"/>
          <w:rFonts w:hint="cs" w:cs="FrankRuehl"/>
          <w:szCs w:val="34"/>
          <w:rtl/>
        </w:rPr>
        <w:t xml:space="preserve">7.</w:t>
      </w:r>
      <w:r>
        <w:rPr>
          <w:lang w:bidi="he-IL"/>
          <w:rFonts w:hint="cs" w:cs="FrankRuehl"/>
          <w:szCs w:val="26"/>
          <w:rtl/>
        </w:rPr>
        <w:tab/>
        <w:t xml:space="preserve">חבר המועצה יתמנה לתקופה של ארבע שנים, והשר רשאי לשוב ולמנותו לתקופת כהונה נוספת אחת.</w:t>
      </w:r>
    </w:p>
    <w:p>
      <w:pPr>
        <w:bidi/>
        <w:spacing w:before="45" w:after="50" w:line="250" w:lineRule="auto"/>
        <w:ind/>
        <w:jc w:val="both"/>
        <w:tabs>
          <w:tab w:pos="720"/>
          <w:tab w:pos="1440"/>
          <w:tab w:pos="2160"/>
          <w:tab w:pos="2880"/>
          <w:tab w:pos="3600"/>
        </w:tabs>
        <w:ind w:start="1440" w:hanging="1440"/>
      </w:pPr>
      <w:defaultTabStop w:val="720"/>
      <w:bookmarkStart w:name="h8" w:id="8"/>
      <w:bookmarkEnd w:id="8"/>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פקיעת כהונה</w:t>
                </w:r>
              </w:p>
            </w:txbxContent>
          </v:textbox>
        </v:rect>
      </w:pict>
      <w:r>
        <w:rPr>
          <w:lang w:bidi="he-IL"/>
          <w:rFonts w:hint="cs" w:cs="FrankRuehl"/>
          <w:szCs w:val="34"/>
          <w:rtl/>
        </w:rPr>
        <w:t xml:space="preserve">8.</w:t>
        <w:tab/>
      </w:r>
      <w:r>
        <w:rPr>
          <w:lang w:bidi="he-IL"/>
          <w:rFonts w:hint="cs" w:cs="FrankRuehl"/>
          <w:szCs w:val="26"/>
          <w:rtl/>
        </w:rPr>
        <w:t xml:space="preserve">(א)</w:t>
      </w:r>
      <w:r>
        <w:rPr>
          <w:lang w:bidi="he-IL"/>
          <w:rFonts w:hint="cs" w:cs="FrankRuehl"/>
          <w:szCs w:val="26"/>
          <w:rtl/>
        </w:rPr>
        <w:tab/>
        <w:t xml:space="preserve">חבר המועצה יחדל לכהן לפני תום תקופת כהונתו בהתקיים אחד מאלה: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(1)</w:t>
      </w:r>
      <w:r>
        <w:rPr>
          <w:lang w:bidi="he-IL"/>
          <w:rFonts w:hint="cs" w:cs="FrankRuehl"/>
          <w:szCs w:val="26"/>
          <w:rtl/>
        </w:rPr>
        <w:tab/>
        <w:t xml:space="preserve">התפטר במסירת כתב התפטרות לשר וליושב ראש המועצה;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(2)</w:t>
      </w:r>
      <w:r>
        <w:rPr>
          <w:lang w:bidi="he-IL"/>
          <w:rFonts w:hint="cs" w:cs="FrankRuehl"/>
          <w:szCs w:val="26"/>
          <w:rtl/>
        </w:rPr>
        <w:tab/>
        <w:t xml:space="preserve">חדל להתקיים בו התנאי שמכוחו מונה;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(3)</w:t>
      </w:r>
      <w:r>
        <w:rPr>
          <w:lang w:bidi="he-IL"/>
          <w:rFonts w:hint="cs" w:cs="FrankRuehl"/>
          <w:szCs w:val="26"/>
          <w:rtl/>
        </w:rPr>
        <w:tab/>
        <w:t xml:space="preserve">לגבי נציג הציבור – אם נתמנה להיות עובד המדינה;</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(4)</w:t>
      </w:r>
      <w:r>
        <w:rPr>
          <w:lang w:bidi="he-IL"/>
          <w:rFonts w:hint="cs" w:cs="FrankRuehl"/>
          <w:szCs w:val="26"/>
          <w:rtl/>
        </w:rPr>
        <w:tab/>
        <w:t xml:space="preserve">נתקיים בו הסייג הקבוע בסעיף 11(א);</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(5)</w:t>
      </w:r>
      <w:r>
        <w:rPr>
          <w:lang w:bidi="he-IL"/>
          <w:rFonts w:hint="cs" w:cs="FrankRuehl"/>
          <w:szCs w:val="26"/>
          <w:rtl/>
        </w:rPr>
        <w:tab/>
        <w:t xml:space="preserve">נבצר ממנו דרך קבע למלא את תפקידו;</w:t>
      </w:r>
    </w:p>
    <w:p>
      <w:pPr>
        <w:bidi/>
        <w:spacing w:before="45" w:after="50" w:line="250" w:lineRule="auto"/>
        <w:ind/>
        <w:jc w:val="both"/>
        <w:tabs>
          <w:tab w:pos="720"/>
          <w:tab w:pos="1440"/>
          <w:tab w:pos="2160"/>
          <w:tab w:pos="2880"/>
          <w:tab w:pos="3600"/>
        </w:tabs>
        <w:ind w:start="2160" w:hanging="720"/>
      </w:pPr>
      <w:defaultTabStop w:val="720"/>
      <w:r>
        <w:rPr>
          <w:lang w:bidi="he-IL"/>
          <w:rFonts w:hint="cs" w:cs="FrankRuehl"/>
          <w:szCs w:val="26"/>
          <w:rtl/>
        </w:rPr>
        <w:t xml:space="preserve">(6)</w:t>
      </w:r>
      <w:r>
        <w:rPr>
          <w:lang w:bidi="he-IL"/>
          <w:rFonts w:hint="cs" w:cs="FrankRuehl"/>
          <w:szCs w:val="26"/>
          <w:rtl/>
        </w:rPr>
        <w:tab/>
        <w:t xml:space="preserve">הורשע בעבירה כאמור בסעיף 5.</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השר רשאי להעביר חבר מועצה מכהונתו לפני תום תקופת כהונתו אם הוא נעדר בלא סיבה מוצדקת מארבע ישיבות רצופות של המועצה או מיותר משליש מהישיבות שקיימה המועצה בשנה אחת.</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(ג)</w:t>
      </w:r>
      <w:r>
        <w:rPr>
          <w:lang w:bidi="he-IL"/>
          <w:rFonts w:hint="cs" w:cs="FrankRuehl"/>
          <w:szCs w:val="26"/>
          <w:rtl/>
        </w:rPr>
        <w:tab/>
        <w:t xml:space="preserve">התפטר חבר המועצה או חדל מסיבה אחרת לכהן כחבר המועצה לפני תום תקופת כהונתו, ימונה חבר אחר במקומו, באותה הדרך שבה נתמנה אותו חבר לפי סעיף 4, וליתרת תקופת כהונתו.</w:t>
      </w:r>
    </w:p>
    <w:p>
      <w:pPr>
        <w:bidi/>
        <w:spacing w:before="45" w:after="50" w:line="250" w:lineRule="auto"/>
        <w:ind/>
        <w:jc w:val="both"/>
        <w:tabs>
          <w:tab w:pos="720"/>
          <w:tab w:pos="1440"/>
          <w:tab w:pos="2160"/>
          <w:tab w:pos="2880"/>
          <w:tab w:pos="3600"/>
        </w:tabs>
        <w:ind w:start="1440" w:hanging="1440"/>
      </w:pPr>
      <w:defaultTabStop w:val="720"/>
      <w:bookmarkStart w:name="h9" w:id="9"/>
      <w:bookmarkEnd w:id="9"/>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סדרי עבודת המועצה</w:t>
                </w:r>
              </w:p>
            </w:txbxContent>
          </v:textbox>
        </v:rect>
      </w:pict>
      <w:r>
        <w:rPr>
          <w:lang w:bidi="he-IL"/>
          <w:rFonts w:hint="cs" w:cs="FrankRuehl"/>
          <w:szCs w:val="34"/>
          <w:rtl/>
        </w:rPr>
        <w:t xml:space="preserve">9.</w:t>
        <w:tab/>
      </w:r>
      <w:r>
        <w:rPr>
          <w:lang w:bidi="he-IL"/>
          <w:rFonts w:hint="cs" w:cs="FrankRuehl"/>
          <w:szCs w:val="26"/>
          <w:rtl/>
        </w:rPr>
        <w:t xml:space="preserve">(א)</w:t>
      </w:r>
      <w:r>
        <w:rPr>
          <w:lang w:bidi="he-IL"/>
          <w:rFonts w:hint="cs" w:cs="FrankRuehl"/>
          <w:szCs w:val="26"/>
          <w:rtl/>
        </w:rPr>
        <w:tab/>
        <w:t xml:space="preserve">המנין החוקי בישיבות המועצה הוא רוב חבריה, ובהם יושב ראש המועצה או ממלא מקומו הקבוע.</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החלטות המועצה יתקבלו ברוב קולות של המשתתפים בהצבעה; היו הקולות שקולים, יהיה ליושב ראש המועצה קול נוסף.</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(ג)</w:t>
      </w:r>
      <w:r>
        <w:rPr>
          <w:lang w:bidi="he-IL"/>
          <w:rFonts w:hint="cs" w:cs="FrankRuehl"/>
          <w:szCs w:val="26"/>
          <w:rtl/>
        </w:rPr>
        <w:tab/>
        <w:t xml:space="preserve">המועצה תקבע את סדרי עבודתה ואת סדרי הדיונים בה, ככל שאלה לא נקבעו לפי חוק זה.</w:t>
      </w:r>
    </w:p>
    <w:p>
      <w:pPr>
        <w:bidi/>
        <w:spacing w:before="45" w:after="50" w:line="250" w:lineRule="auto"/>
        <w:ind/>
        <w:jc w:val="both"/>
        <w:tabs>
          <w:tab w:pos="720"/>
          <w:tab w:pos="1440"/>
          <w:tab w:pos="2160"/>
          <w:tab w:pos="2880"/>
          <w:tab w:pos="3600"/>
        </w:tabs>
        <w:ind w:start="720" w:hanging="720"/>
      </w:pPr>
      <w:defaultTabStop w:val="720"/>
      <w:bookmarkStart w:name="h10" w:id="10"/>
      <w:bookmarkEnd w:id="10"/>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תוקף פעולות</w:t>
                </w:r>
              </w:p>
            </w:txbxContent>
          </v:textbox>
        </v:rect>
      </w:pict>
      <w:r>
        <w:rPr>
          <w:lang w:bidi="he-IL"/>
          <w:rFonts w:hint="cs" w:cs="FrankRuehl"/>
          <w:szCs w:val="34"/>
          <w:rtl/>
        </w:rPr>
        <w:t xml:space="preserve">10.</w:t>
      </w:r>
      <w:r>
        <w:rPr>
          <w:lang w:bidi="he-IL"/>
          <w:rFonts w:hint="cs" w:cs="FrankRuehl"/>
          <w:szCs w:val="26"/>
          <w:rtl/>
        </w:rPr>
        <w:tab/>
        <w:t xml:space="preserve">קיום המועצה, סמכויותיה ותוקף החלטותיה ופעולותיה לא ייפגעו מחמת שנתפנה מקומו של חבר בה, או מחמת ליקוי במינויו או בהמשך כהונתו.</w:t>
      </w:r>
    </w:p>
    <w:p>
      <w:pPr>
        <w:bidi/>
        <w:spacing w:before="45" w:after="50" w:line="250" w:lineRule="auto"/>
        <w:ind/>
        <w:jc w:val="both"/>
        <w:tabs>
          <w:tab w:pos="720"/>
          <w:tab w:pos="1440"/>
          <w:tab w:pos="2160"/>
          <w:tab w:pos="2880"/>
          <w:tab w:pos="3600"/>
        </w:tabs>
        <w:ind w:start="1440" w:hanging="1440"/>
      </w:pPr>
      <w:defaultTabStop w:val="720"/>
      <w:bookmarkStart w:name="h11" w:id="11"/>
      <w:bookmarkEnd w:id="11"/>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ניגוד ענינים</w:t>
                </w:r>
              </w:p>
            </w:txbxContent>
          </v:textbox>
        </v:rect>
      </w:pict>
      <w:r>
        <w:rPr>
          <w:lang w:bidi="he-IL"/>
          <w:rFonts w:hint="cs" w:cs="FrankRuehl"/>
          <w:szCs w:val="34"/>
          <w:rtl/>
        </w:rPr>
        <w:t xml:space="preserve">11.</w:t>
        <w:tab/>
      </w:r>
      <w:r>
        <w:rPr>
          <w:lang w:bidi="he-IL"/>
          <w:rFonts w:hint="cs" w:cs="FrankRuehl"/>
          <w:szCs w:val="26"/>
          <w:rtl/>
        </w:rPr>
        <w:t xml:space="preserve">(א)</w:t>
      </w:r>
      <w:r>
        <w:rPr>
          <w:lang w:bidi="he-IL"/>
          <w:rFonts w:hint="cs" w:cs="FrankRuehl"/>
          <w:szCs w:val="26"/>
          <w:rtl/>
        </w:rPr>
        <w:tab/>
        <w:t xml:space="preserve">לא יתמנה ולא יכהן כחבר המועצה מי שעלול להימצא, במישרין או בעקיפין, באופן תדיר, במצב של ניגוד ענינים בין תפקידו כחבר המועצה לבין ענין אישי שלו או לבין תפקיד אחר שלו.</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חבר המועצה יימנע מהשתתפות בדיון ומהצבעה בישיבות המועצה, אם הנושא הנדון עלול לגרום לו להימצא, במישרין או בעקיפין, במצב של ניגוד ענינים בין תפקידו כחבר המועצה לבין ענין אישי שלו או לבין תפקיד אחר שלו; חבר המועצה לא יטפל במסגרת תפקידו במועצה בנושא כאמור גם מחוץ לישיבות המועצה.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(ג)</w:t>
      </w:r>
      <w:r>
        <w:rPr>
          <w:lang w:bidi="he-IL"/>
          <w:rFonts w:hint="cs" w:cs="FrankRuehl"/>
          <w:szCs w:val="26"/>
          <w:rtl/>
        </w:rPr>
        <w:tab/>
        <w:t xml:space="preserve">נתברר לחבר המועצה כי הנושא הנדון עלול לגרום לו להימצא במצב של ניגוד ענינים כאמור בסעיפים קטנים (א) או (ב), יודיע על כך ליושב ראש המועצה.</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(ד)</w:t>
      </w:r>
      <w:r>
        <w:rPr>
          <w:lang w:bidi="he-IL"/>
          <w:rFonts w:hint="cs" w:cs="FrankRuehl"/>
          <w:szCs w:val="26"/>
          <w:rtl/>
        </w:rPr>
        <w:tab/>
        <w:t xml:space="preserve">בסעיף זה –
"ענין אישי" – לרבות ענין אישי של קרובו או ענין של גוף שחבר המועצה או קרובו מנהלים או עובדים אחראים בו, או ענין של גוף שיש להם בו חלק בהון המניות, בזכות לקבל רווחים, בזכות למנות מנהל או בזכות הצבעה;
"קרוב" – בן זוג, הורה, ילד, אח או אחות או אדם אחר הסמוך על שולחנו של חבר המועצה.</w:t>
      </w:r>
    </w:p>
    <w:p>
      <w:pPr>
        <w:bidi/>
        <w:spacing w:before="45" w:after="50" w:line="250" w:lineRule="auto"/>
        <w:ind/>
        <w:jc w:val="both"/>
        <w:tabs>
          <w:tab w:pos="720"/>
          <w:tab w:pos="1440"/>
          <w:tab w:pos="2160"/>
          <w:tab w:pos="2880"/>
          <w:tab w:pos="3600"/>
        </w:tabs>
        <w:ind w:start="1440" w:hanging="1440"/>
      </w:pPr>
      <w:defaultTabStop w:val="720"/>
      <w:bookmarkStart w:name="h12" w:id="12"/>
      <w:bookmarkEnd w:id="12"/>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תקציב</w:t>
                </w:r>
              </w:p>
            </w:txbxContent>
          </v:textbox>
        </v:rect>
      </w:pict>
      <w:r>
        <w:rPr>
          <w:lang w:bidi="he-IL"/>
          <w:rFonts w:hint="cs" w:cs="FrankRuehl"/>
          <w:szCs w:val="34"/>
          <w:rtl/>
        </w:rPr>
        <w:t xml:space="preserve">12.</w:t>
        <w:tab/>
      </w:r>
      <w:r>
        <w:rPr>
          <w:lang w:bidi="he-IL"/>
          <w:rFonts w:hint="cs" w:cs="FrankRuehl"/>
          <w:szCs w:val="26"/>
          <w:rtl/>
        </w:rPr>
        <w:t xml:space="preserve">(א)</w:t>
      </w:r>
      <w:r>
        <w:rPr>
          <w:lang w:bidi="he-IL"/>
          <w:rFonts w:hint="cs" w:cs="FrankRuehl"/>
          <w:szCs w:val="26"/>
          <w:rtl/>
        </w:rPr>
        <w:tab/>
        <w:t xml:space="preserve">תקציב שנתי לתמיכה בגנים בוטנים מוכרים ייקבע בחוק התקציב השנתי כהגדרתו בחוק יסודות התקציב.</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(ב)</w:t>
      </w:r>
      <w:r>
        <w:rPr>
          <w:lang w:bidi="he-IL"/>
          <w:rFonts w:hint="cs" w:cs="FrankRuehl"/>
          <w:szCs w:val="26"/>
          <w:rtl/>
        </w:rPr>
        <w:tab/>
        <w:t xml:space="preserve">מבחנים לתמיכה בגנים בוטניים מוכרים לפי סעיף 3א לחוק יסודות התקציב ייקבעו על ידי השר לאחר התייעצות עם המועצה.</w:t>
      </w:r>
    </w:p>
    <w:p>
      <w:pPr>
        <w:bidi/>
        <w:spacing w:before="45" w:after="50" w:line="250" w:lineRule="auto"/>
        <w:ind/>
        <w:jc w:val="both"/>
        <w:tabs>
          <w:tab w:pos="720"/>
          <w:tab w:pos="1440"/>
          <w:tab w:pos="2160"/>
          <w:tab w:pos="2880"/>
          <w:tab w:pos="3600"/>
        </w:tabs>
        <w:ind w:start="720" w:hanging="720"/>
      </w:pPr>
      <w:defaultTabStop w:val="720"/>
      <w:bookmarkStart w:name="h13" w:id="13"/>
      <w:bookmarkEnd w:id="13"/>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פיקוח</w:t>
                </w:r>
              </w:p>
            </w:txbxContent>
          </v:textbox>
        </v:rect>
      </w:pict>
      <w:r>
        <w:rPr>
          <w:lang w:bidi="he-IL"/>
          <w:rFonts w:hint="cs" w:cs="FrankRuehl"/>
          <w:szCs w:val="34"/>
          <w:rtl/>
        </w:rPr>
        <w:t xml:space="preserve">13.</w:t>
      </w:r>
      <w:r>
        <w:rPr>
          <w:lang w:bidi="he-IL"/>
          <w:rFonts w:hint="cs" w:cs="FrankRuehl"/>
          <w:szCs w:val="26"/>
          <w:rtl/>
        </w:rPr>
        <w:tab/>
        <w:t xml:space="preserve">המנהל או מי שהוא הסמיך לכך, יפקח על הגנים הבוטניים המוכרים והוא רשאי להיכנס, בכל עת סבירה, לכל גן בוטני מוכר לבדוק אם קוימו הוראות לפי חוק זה.</w:t>
      </w:r>
    </w:p>
    <w:p>
      <w:pPr>
        <w:bidi/>
        <w:spacing w:before="45" w:after="50" w:line="250" w:lineRule="auto"/>
        <w:ind/>
        <w:jc w:val="both"/>
        <w:tabs>
          <w:tab w:pos="720"/>
          <w:tab w:pos="1440"/>
          <w:tab w:pos="2160"/>
          <w:tab w:pos="2880"/>
          <w:tab w:pos="3600"/>
        </w:tabs>
        <w:ind w:start="720" w:hanging="720"/>
      </w:pPr>
      <w:defaultTabStop w:val="720"/>
      <w:bookmarkStart w:name="h14" w:id="14"/>
      <w:bookmarkEnd w:id="14"/>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גמול והחזר הוצאות</w:t>
                </w:r>
              </w:p>
            </w:txbxContent>
          </v:textbox>
        </v:rect>
      </w:pict>
      <w:r>
        <w:rPr>
          <w:lang w:bidi="he-IL"/>
          <w:rFonts w:hint="cs" w:cs="FrankRuehl"/>
          <w:szCs w:val="34"/>
          <w:rtl/>
        </w:rPr>
        <w:t xml:space="preserve">14.</w:t>
      </w:r>
      <w:r>
        <w:rPr>
          <w:lang w:bidi="he-IL"/>
          <w:rFonts w:hint="cs" w:cs="FrankRuehl"/>
          <w:szCs w:val="26"/>
          <w:rtl/>
        </w:rPr>
        <w:tab/>
        <w:t xml:space="preserve">שר האוצר רשאי לקבוע הוראות בדבר תשלום גמול לחבר מועצה בעבור השתתפות בישיבות המועצה או בדבר תשלום החזר הוצאות שהוציא לצורך השתתפות בישיבות המועצה, והוא רשאי לקבוע כללים, תנאים ושיעורים לענין זה.</w:t>
      </w:r>
    </w:p>
    <w:p>
      <w:pPr>
        <w:bidi/>
        <w:spacing w:before="45" w:after="50" w:line="250" w:lineRule="auto"/>
        <w:ind/>
        <w:jc w:val="both"/>
        <w:tabs>
          <w:tab w:pos="720"/>
          <w:tab w:pos="1440"/>
          <w:tab w:pos="2160"/>
          <w:tab w:pos="2880"/>
          <w:tab w:pos="3600"/>
        </w:tabs>
        <w:ind w:start="720" w:hanging="720"/>
      </w:pPr>
      <w:defaultTabStop w:val="720"/>
      <w:bookmarkStart w:name="h15" w:id="15"/>
      <w:bookmarkEnd w:id="15"/>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ביצוע ותקנות</w:t>
                </w:r>
              </w:p>
            </w:txbxContent>
          </v:textbox>
        </v:rect>
      </w:pict>
      <w:r>
        <w:rPr>
          <w:lang w:bidi="he-IL"/>
          <w:rFonts w:hint="cs" w:cs="FrankRuehl"/>
          <w:szCs w:val="34"/>
          <w:rtl/>
        </w:rPr>
        <w:t xml:space="preserve">15.</w:t>
      </w:r>
      <w:r>
        <w:rPr>
          <w:lang w:bidi="he-IL"/>
          <w:rFonts w:hint="cs" w:cs="FrankRuehl"/>
          <w:szCs w:val="26"/>
          <w:rtl/>
        </w:rPr>
        <w:tab/>
        <w:t xml:space="preserve">השר ממונה על ביצוע חוק זה והוא רשאי, לאחר התייעצות עם המועצה ובאישור ועדת הכלכלה של הכנסת, להתקין תקנות בכל הנוגע לביצועו, ולקבוע חובות שיחולו על גן בוטני מוכר, לרבות לענין –</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(1)</w:t>
      </w:r>
      <w:r>
        <w:rPr>
          <w:lang w:bidi="he-IL"/>
          <w:rFonts w:hint="cs" w:cs="FrankRuehl"/>
          <w:szCs w:val="26"/>
          <w:rtl/>
        </w:rPr>
        <w:tab/>
        <w:t xml:space="preserve">מגוון הצמחים בגן בוטני מוכר;</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(2)</w:t>
      </w:r>
      <w:r>
        <w:rPr>
          <w:lang w:bidi="he-IL"/>
          <w:rFonts w:hint="cs" w:cs="FrankRuehl"/>
          <w:szCs w:val="26"/>
          <w:rtl/>
        </w:rPr>
        <w:tab/>
        <w:t xml:space="preserve">תיעוד ורישום מידע על אודות הצמחים בגן בוטני מוכר;</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(3)</w:t>
      </w:r>
      <w:r>
        <w:rPr>
          <w:lang w:bidi="he-IL"/>
          <w:rFonts w:hint="cs" w:cs="FrankRuehl"/>
          <w:szCs w:val="26"/>
          <w:rtl/>
        </w:rPr>
        <w:tab/>
        <w:t xml:space="preserve">פעולות חינוך, הסברה והדרכה בתחומי הגנים הבוטניים המוכרים;</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(4)</w:t>
      </w:r>
      <w:r>
        <w:rPr>
          <w:lang w:bidi="he-IL"/>
          <w:rFonts w:hint="cs" w:cs="FrankRuehl"/>
          <w:szCs w:val="26"/>
          <w:rtl/>
        </w:rPr>
        <w:tab/>
        <w:t xml:space="preserve">עריכה וקידום של מחקרים בתחום הבוטניקה, האקולוגיה והחקלאות;</w:t>
      </w:r>
    </w:p>
    <w:p>
      <w:pPr>
        <w:bidi/>
        <w:spacing w:before="45" w:after="50" w:line="250" w:lineRule="auto"/>
        <w:ind/>
        <w:jc w:val="both"/>
        <w:tabs>
          <w:tab w:pos="720"/>
          <w:tab w:pos="1440"/>
          <w:tab w:pos="2160"/>
          <w:tab w:pos="2880"/>
          <w:tab w:pos="3600"/>
        </w:tabs>
        <w:ind w:start="1440" w:hanging="720"/>
      </w:pPr>
      <w:defaultTabStop w:val="720"/>
      <w:r>
        <w:rPr>
          <w:lang w:bidi="he-IL"/>
          <w:rFonts w:hint="cs" w:cs="FrankRuehl"/>
          <w:szCs w:val="26"/>
          <w:rtl/>
        </w:rPr>
        <w:t xml:space="preserve">(5)</w:t>
      </w:r>
      <w:r>
        <w:rPr>
          <w:lang w:bidi="he-IL"/>
          <w:rFonts w:hint="cs" w:cs="FrankRuehl"/>
          <w:szCs w:val="26"/>
          <w:rtl/>
        </w:rPr>
        <w:tab/>
        <w:t xml:space="preserve">מתן אפשרות לציבור הרחב לבקר בגן בוטני מוכר.</w:t>
      </w:r>
    </w:p>
    <w:p>
      <w:pPr>
        <w:bidi/>
        <w:spacing w:before="45" w:after="50" w:line="250" w:lineRule="auto"/>
        <w:ind/>
        <w:jc w:val="both"/>
        <w:tabs>
          <w:tab w:pos="720"/>
          <w:tab w:pos="1440"/>
          <w:tab w:pos="2160"/>
          <w:tab w:pos="2880"/>
          <w:tab w:pos="3600"/>
        </w:tabs>
        <w:ind w:start="720" w:hanging="720"/>
      </w:pPr>
      <w:defaultTabStop w:val="720"/>
      <w:bookmarkStart w:name="h16" w:id="16"/>
      <w:bookmarkEnd w:id="16"/>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שמירת דינים</w:t>
                </w:r>
              </w:p>
            </w:txbxContent>
          </v:textbox>
        </v:rect>
      </w:pict>
      <w:r>
        <w:rPr>
          <w:lang w:bidi="he-IL"/>
          <w:rFonts w:hint="cs" w:cs="FrankRuehl"/>
          <w:szCs w:val="34"/>
          <w:rtl/>
        </w:rPr>
        <w:t xml:space="preserve">16.</w:t>
      </w:r>
      <w:r>
        <w:rPr>
          <w:lang w:bidi="he-IL"/>
          <w:rFonts w:hint="cs" w:cs="FrankRuehl"/>
          <w:szCs w:val="26"/>
          <w:rtl/>
        </w:rPr>
        <w:tab/>
        <w:t xml:space="preserve">הוראות לפי חוק זה אינן גורעות מחובה המוטלת על פי כל דין.</w:t>
      </w:r>
    </w:p>
    <w:p>
      <w:pPr>
        <w:bidi/>
        <w:spacing w:before="45" w:after="50" w:line="250" w:lineRule="auto"/>
        <w:ind/>
        <w:jc w:val="both"/>
        <w:tabs>
          <w:tab w:pos="720"/>
          <w:tab w:pos="1440"/>
          <w:tab w:pos="2160"/>
          <w:tab w:pos="2880"/>
          <w:tab w:pos="3600"/>
        </w:tabs>
        <w:ind w:start="720" w:hanging="720"/>
      </w:pPr>
      <w:defaultTabStop w:val="720"/>
      <w:bookmarkStart w:name="h17" w:id="17"/>
      <w:bookmarkEnd w:id="17"/>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פרסום ברשומות</w:t>
                </w:r>
              </w:p>
            </w:txbxContent>
          </v:textbox>
        </v:rect>
      </w:pict>
      <w:r>
        <w:rPr>
          <w:lang w:bidi="he-IL"/>
          <w:rFonts w:hint="cs" w:cs="FrankRuehl"/>
          <w:szCs w:val="34"/>
          <w:rtl/>
        </w:rPr>
        <w:t xml:space="preserve">17.</w:t>
      </w:r>
      <w:r>
        <w:rPr>
          <w:lang w:bidi="he-IL"/>
          <w:rFonts w:hint="cs" w:cs="FrankRuehl"/>
          <w:szCs w:val="26"/>
          <w:rtl/>
        </w:rPr>
        <w:tab/>
        <w:t xml:space="preserve">השר יפרסם ברשומות הודעה על הכרה בגן בוטני לפי הוראות חוק זה או על ביטול הכרה כאמור.</w:t>
      </w:r>
    </w:p>
    <w:p>
      <w:pPr>
        <w:bidi/>
        <w:spacing w:before="45" w:after="50" w:line="250" w:lineRule="auto"/>
        <w:ind/>
        <w:jc w:val="both"/>
        <w:tabs>
          <w:tab w:pos="720"/>
          <w:tab w:pos="1440"/>
          <w:tab w:pos="2160"/>
          <w:tab w:pos="2880"/>
          <w:tab w:pos="3600"/>
        </w:tabs>
        <w:ind w:start="720" w:hanging="720"/>
      </w:pPr>
      <w:defaultTabStop w:val="720"/>
      <w:bookmarkStart w:name="h18" w:id="18"/>
      <w:bookmarkEnd w:id="18"/>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תחילה</w:t>
                </w:r>
              </w:p>
            </w:txbxContent>
          </v:textbox>
        </v:rect>
      </w:pict>
      <w:r>
        <w:rPr>
          <w:lang w:bidi="he-IL"/>
          <w:rFonts w:hint="cs" w:cs="FrankRuehl"/>
          <w:szCs w:val="34"/>
          <w:rtl/>
        </w:rPr>
        <w:t xml:space="preserve">18.</w:t>
      </w:r>
      <w:r>
        <w:rPr>
          <w:lang w:bidi="he-IL"/>
          <w:rFonts w:hint="cs" w:cs="FrankRuehl"/>
          <w:szCs w:val="26"/>
          <w:rtl/>
        </w:rPr>
        <w:tab/>
        <w:t xml:space="preserve">תחילתו של חוק זה בתום שלושה חודשים מיום פרסומו.</w:t>
      </w:r>
    </w:p>
    <w:p>
      <w:pPr>
        <w:bidi/>
        <w:spacing w:before="45" w:after="50" w:line="250" w:lineRule="auto"/>
        <w:ind/>
        <w:jc w:val="both"/>
        <w:tabs>
          <w:tab w:pos="720"/>
          <w:tab w:pos="1440"/>
          <w:tab w:pos="2160"/>
          <w:tab w:pos="2880"/>
          <w:tab w:pos="3600"/>
        </w:tabs>
        <w:ind w:start="720" w:hanging="720"/>
      </w:pPr>
      <w:defaultTabStop w:val="720"/>
      <w:bookmarkStart w:name="h19" w:id="19"/>
      <w:bookmarkEnd w:id="19"/>
      <w:pict>
        <v:rect xmlns:o="urn:schemas-microsoft-com:office:office" xmlns:v="urn:schemas-microsoft-com:vml" style="position:absolute;left:0;text-align:left;margin-left:435.0pt;margin-top:3.0pt;width:80.0pt;height:60.0pt;z-index:1" o:allowincell="false" o:allowoverlap="false" filled="false" stroked="false">
          <v:textbox style="mso-fit-shape-to-text:t;" inset="0, 0, 0, 0">
            <w:txbxContent>
              <w:p>
                <w:pPr>
                  <w:bidi/>
                  <w:spacing w:before="0" w:after="0" w:line="250" w:lineRule="auto"/>
                </w:pPr>
                <w:defaultTabStop w:val="720"/>
                <w:r>
                  <w:rPr>
                    <w:lang w:bidi="he-IL"/>
                    <w:rFonts w:hint="cs" w:cs="Miriam"/>
                    <w:szCs w:val="22"/>
                    <w:rtl/>
                  </w:rPr>
                  <w:t xml:space="preserve">חובת התקנת תקנות ראשונות</w:t>
                </w:r>
              </w:p>
            </w:txbxContent>
          </v:textbox>
        </v:rect>
      </w:pict>
      <w:r>
        <w:rPr>
          <w:lang w:bidi="he-IL"/>
          <w:rFonts w:hint="cs" w:cs="FrankRuehl"/>
          <w:szCs w:val="34"/>
          <w:rtl/>
        </w:rPr>
        <w:t xml:space="preserve">19.</w:t>
      </w:r>
      <w:r>
        <w:rPr>
          <w:lang w:bidi="he-IL"/>
          <w:rFonts w:hint="cs" w:cs="FrankRuehl"/>
          <w:szCs w:val="26"/>
          <w:rtl/>
        </w:rPr>
        <w:tab/>
        <w:t xml:space="preserve">תקנות ראשונות לפי חוק זה יובאו לאישור ועדת הכלכלה של הכנסת בתום שישה חודשים מיום תחילתו של החוק.</w:t>
      </w:r>
    </w:p>
    <w:p>
      <w:pPr>
        <w:bidi/>
        <w:spacing w:before="45" w:after="50" w:line="250" w:lineRule="auto"/>
        <w:ind/>
        <w:jc w:val="both"/>
        <w:tabs>
          <w:tab w:pos="720"/>
          <w:tab w:pos="1440"/>
          <w:tab w:pos="2160"/>
          <w:tab w:pos="2880"/>
          <w:tab w:pos="3600"/>
        </w:tabs>
      </w:pPr>
      <w:defaultTabStop w:val="720"/>
    </w:p>
    <w:p>
      <w:pPr>
        <w:bidi/>
        <w:spacing w:before="45" w:after="50" w:line="250" w:lineRule="auto"/>
        <w:ind/>
        <w:jc w:val="both"/>
        <w:tabs>
          <w:tab w:pos="720"/>
          <w:tab w:pos="1440"/>
          <w:tab w:pos="2160"/>
          <w:tab w:pos="2880"/>
          <w:tab w:pos="3600"/>
        </w:tabs>
      </w:pPr>
      <w:defaultTabStop w:val="720"/>
    </w:p>
    <w:p>
      <w:pPr>
        <w:bidi/>
        <w:spacing w:before="45" w:after="50" w:line="250" w:lineRule="auto"/>
        <w:ind/>
        <w:jc w:val="both"/>
        <w:tabs>
          <w:tab w:pos="720"/>
          <w:tab w:pos="1440"/>
          <w:tab w:pos="2160"/>
          <w:tab w:pos="2880"/>
          <w:tab w:pos="3600"/>
        </w:tabs>
      </w:pPr>
      <w:defaultTabStop w:val="720"/>
      <w:r>
        <w:rPr>
          <w:lang w:bidi="he-IL"/>
          <w:rFonts w:hint="cs" w:cs="FrankRuehl"/>
          <w:szCs w:val="26"/>
          <w:rtl/>
        </w:rPr>
        <w:tbl>
          <w:tblPr>
            <w:tblW w:w="5000" w:type="pct"/>
            <w:updateFields w:val="true"/>
          </w:tblPr>
          <w:tr>
            <w:trPr>
              <w:cantSplit w:val="on"/>
            </w:trPr>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c>
              <w:tcPr>
                <w:tcW w:w="16.66%"/>
              </w:tcPr>
              <w:p>
                <w:pPr>
                  <w:bidi/>
                  <w:spacing w:before="45" w:after="3" w:line="250" w:lineRule="auto"/>
                  <w:jc w:val="center"/>
                </w:pPr>
                <w:defaultTabStop w:val="720"/>
                <w:r>
                  <w:rPr>
                    <w:lang w:bidi="he-IL"/>
                    <w:rFonts w:hint="cs" w:cs="FrankRuehl"/>
                    <w:szCs w:val="26"/>
                    <w:rtl/>
                  </w:rPr>
                  <w:t xml:space="preserve">ישראל כ"ץ</w:t>
                </w:r>
              </w:p>
              <w:p>
                <w:pPr>
                  <w:bidi/>
                  <w:spacing w:before="45" w:after="3" w:line="250" w:lineRule="auto"/>
                  <w:jc w:val="center"/>
                </w:pPr>
                <w:defaultTabStop w:val="720"/>
                <w:r>
                  <w:rPr>
                    <w:lang w:bidi="he-IL"/>
                    <w:rFonts w:hint="cs" w:cs="FrankRuehl"/>
                    <w:szCs w:val="22"/>
                    <w:rtl/>
                  </w:rPr>
                  <w:t xml:space="preserve">שר החקלאות ופיתוח הכפר</w:t>
                </w:r>
              </w:p>
            </w:tc>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c>
              <w:tcPr>
                <w:tcW w:w="16.66%"/>
              </w:tcPr>
              <w:p>
                <w:pPr>
                  <w:bidi/>
                  <w:spacing w:before="45" w:after="3" w:line="250" w:lineRule="auto"/>
                  <w:jc w:val="center"/>
                </w:pPr>
                <w:defaultTabStop w:val="720"/>
                <w:r>
                  <w:rPr>
                    <w:lang w:bidi="he-IL"/>
                    <w:rFonts w:hint="cs" w:cs="FrankRuehl"/>
                    <w:szCs w:val="26"/>
                    <w:rtl/>
                  </w:rPr>
                  <w:t xml:space="preserve">אריאל שרון</w:t>
                </w:r>
              </w:p>
              <w:p>
                <w:pPr>
                  <w:bidi/>
                  <w:spacing w:before="45" w:after="3" w:line="250" w:lineRule="auto"/>
                  <w:jc w:val="center"/>
                </w:pPr>
                <w:defaultTabStop w:val="720"/>
                <w:r>
                  <w:rPr>
                    <w:lang w:bidi="he-IL"/>
                    <w:rFonts w:hint="cs" w:cs="FrankRuehl"/>
                    <w:szCs w:val="22"/>
                    <w:rtl/>
                  </w:rPr>
                  <w:t xml:space="preserve">ראש הממשלה</w:t>
                </w:r>
              </w:p>
            </w:tc>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r>
          <w:tr>
            <w:trPr>
              <w:cantSplit w:val="on"/>
            </w:trPr>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c>
              <w:tcPr>
                <w:tcW w:w="16.66%"/>
              </w:tcPr>
              <w:p>
                <w:pPr>
                  <w:bidi/>
                  <w:spacing w:before="45" w:after="3" w:line="250" w:lineRule="auto"/>
                  <w:jc w:val="center"/>
                </w:pPr>
                <w:defaultTabStop w:val="720"/>
                <w:r>
                  <w:rPr>
                    <w:lang w:bidi="he-IL"/>
                    <w:rFonts w:hint="cs" w:cs="FrankRuehl"/>
                    <w:szCs w:val="26"/>
                    <w:rtl/>
                  </w:rPr>
                  <w:t xml:space="preserve">ראובן ריבלין</w:t>
                </w:r>
              </w:p>
              <w:p>
                <w:pPr>
                  <w:bidi/>
                  <w:spacing w:before="45" w:after="3" w:line="250" w:lineRule="auto"/>
                  <w:jc w:val="center"/>
                </w:pPr>
                <w:defaultTabStop w:val="720"/>
                <w:r>
                  <w:rPr>
                    <w:lang w:bidi="he-IL"/>
                    <w:rFonts w:hint="cs" w:cs="FrankRuehl"/>
                    <w:szCs w:val="22"/>
                    <w:rtl/>
                  </w:rPr>
                  <w:t xml:space="preserve">יושב ראש הכנסת</w:t>
                </w:r>
              </w:p>
            </w:tc>
            <w:tc>
              <w:tcPr>
                <w:tcW w:w="16.66%"/>
              </w:tcPr>
              <w:p>
                <w:pPr>
                  <w:bidi/>
                  <w:spacing w:before="45" w:after="3" w:line="250" w:lineRule="auto"/>
                  <w:jc w:val="center"/>
                </w:pPr>
                <w:defaultTabStop w:val="720"/>
                <w:r>
                  <w:rPr>
                    <w:lang w:bidi="he-IL"/>
                    <w:rFonts w:hint="cs" w:cs="FrankRuehl"/>
                    <w:szCs w:val="26"/>
                    <w:rtl/>
                  </w:rPr>
                  <w:t xml:space="preserve"/>
                </w:r>
              </w:p>
              <w:p>
                <w:pPr>
                  <w:bidi/>
                  <w:spacing w:before="45" w:after="3" w:line="250" w:lineRule="auto"/>
                  <w:jc w:val="center"/>
                </w:pPr>
                <w:defaultTabStop w:val="720"/>
                <w:r>
                  <w:rPr>
                    <w:lang w:bidi="he-IL"/>
                    <w:rFonts w:hint="cs" w:cs="FrankRuehl"/>
                    <w:szCs w:val="22"/>
                    <w:rtl/>
                  </w:rPr>
                  <w:t xml:space="preserve"/>
                </w:r>
              </w:p>
            </w:tc>
            <w:tc>
              <w:tcPr>
                <w:tcW w:w="16.66%"/>
              </w:tcPr>
              <w:p>
                <w:pPr>
                  <w:bidi/>
                  <w:spacing w:before="45" w:after="3" w:line="250" w:lineRule="auto"/>
                  <w:jc w:val="center"/>
                </w:pPr>
                <w:defaultTabStop w:val="720"/>
                <w:r>
                  <w:rPr>
                    <w:lang w:bidi="he-IL"/>
                    <w:rFonts w:hint="cs" w:cs="FrankRuehl"/>
                    <w:szCs w:val="26"/>
                    <w:rtl/>
                  </w:rPr>
                  <w:t xml:space="preserve">משה קצב</w:t>
                </w:r>
              </w:p>
              <w:p>
                <w:pPr>
                  <w:bidi/>
                  <w:spacing w:before="45" w:after="3" w:line="250" w:lineRule="auto"/>
                  <w:jc w:val="center"/>
                </w:pPr>
                <w:defaultTabStop w:val="720"/>
                <w:r>
                  <w:rPr>
                    <w:lang w:bidi="he-IL"/>
                    <w:rFonts w:hint="cs" w:cs="FrankRuehl"/>
                    <w:szCs w:val="22"/>
                    <w:rtl/>
                  </w:rPr>
                  <w:t xml:space="preserve">נשיא המדינה</w:t>
                </w:r>
              </w:p>
            </w:tc>
          </w:tr>
        </w:tbl>
      </w:r>
    </w:p>
  </w:body>
</w:document>
</file>

<file path=word/footer1.xml><?xml version="1.0" encoding="utf-8"?>
<w:ftr xmlns:w="http://schemas.openxmlformats.org/wordprocessingml/2006/main">
  <w:p>
    <w:pPr>
      <w:bidi/>
      <w:spacing w:before="45" w:after="5" w:line="250" w:lineRule="auto"/>
      <w:jc w:val="center"/>
    </w:pPr>
    <w:defaultTabStop w:val="720"/>
    <w:r>
      <w:rPr>
        <w:lang w:bidi="he-IL"/>
        <w:rFonts w:hint="cs" w:cs="FrankRuehl"/>
        <w:szCs w:val="24"/>
        <w:rtl/>
      </w:rPr>
      <w:fldChar w:fldCharType="begin"/>
      <w:instrText xml:space="preserve">Page</w:instrText>
      <w:fldChar w:fldCharType="separate"/>
      <w:fldChar w:fldCharType="end"/>
    </w:r>
  </w:p>
</w:ftr>
</file>

<file path=word/header1.xml><?xml version="1.0" encoding="utf-8"?>
<w:hdr xmlns:w="http://schemas.openxmlformats.org/wordprocessingml/2006/main">
  <w:p>
    <w:pPr>
      <w:bidi/>
      <w:spacing w:before="45" w:after="5" w:line="250" w:lineRule="auto"/>
      <w:jc w:val="center"/>
    </w:pPr>
    <w:defaultTabStop w:val="720"/>
    <w:r>
      <w:rPr>
        <w:lang w:bidi="he-IL"/>
        <w:rFonts w:hint="cs" w:cs="FrankRuehl"/>
        <w:szCs w:val="24"/>
        <w:rtl/>
      </w:rPr>
      <w:t xml:space="preserve">חוק גנים בוטניים, תשס"ו-2006, נוסח עדכני נכון ליום 11.06.2024</w:t>
    </w:r>
  </w:p>
  <w:p>
    <w:pPr>
      <w:pBdr>
        <w:top w:val="single" w:color="auto" w:sz="5" w:space="1"/>
      </w:pBdr>
    </w:pPr>
  </w:p>
</w:hdr>
</file>

<file path=word/settings.xml><?xml version="1.0" encoding="utf-8"?>
<w:settings xmlns:w="http://schemas.openxmlformats.org/wordprocessingml/2006/main">
  <w:updateFields w:val="true"/>
</w:settings>
</file>

<file path=word/_rels/document.xml.rels>&#65279;<?xml version="1.0" encoding="utf-8"?><Relationships xmlns="http://schemas.openxmlformats.org/package/2006/relationships"><Relationship Type="http://schemas.openxmlformats.org/officeDocument/2006/relationships/settings" Target="/word/settings.xml" Id="R825e8e3726fc49b7" /><Relationship Type="http://schemas.openxmlformats.org/officeDocument/2006/relationships/header" Target="/word/header1.xml" Id="r97" /><Relationship Type="http://schemas.openxmlformats.org/officeDocument/2006/relationships/footer" Target="/word/footer1.xml" Id="r98" /></Relationships>
</file>